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BC1A" w14:textId="3CCD5249" w:rsidR="0010377C" w:rsidRPr="007C7916" w:rsidRDefault="00441A65" w:rsidP="007C79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F5911"/>
          <w:sz w:val="32"/>
          <w:szCs w:val="32"/>
        </w:rPr>
      </w:pPr>
      <w:r>
        <w:rPr>
          <w:rFonts w:ascii="Arial" w:hAnsi="Arial"/>
          <w:b/>
          <w:color w:val="0F5911"/>
          <w:sz w:val="32"/>
        </w:rPr>
        <w:t xml:space="preserve">Frequently asked questions:  </w:t>
      </w:r>
    </w:p>
    <w:p w14:paraId="1513651C" w14:textId="18AFF429" w:rsidR="006A45B9" w:rsidRPr="006A45B9" w:rsidRDefault="006A45B9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What are the basic requirements for materials/objects intended to come into contact with food? </w:t>
      </w:r>
    </w:p>
    <w:p w14:paraId="39C916AE" w14:textId="532F9199" w:rsidR="006A45B9" w:rsidRPr="00BD28DC" w:rsidRDefault="006A45B9" w:rsidP="006A45B9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Materials and objects must be made in compliance with good manufacturing practice so that under the usual or predictable circumstances of use they do not release their </w:t>
      </w:r>
      <w:r w:rsidR="00210451">
        <w:rPr>
          <w:rFonts w:ascii="Arial" w:hAnsi="Arial"/>
          <w:sz w:val="24"/>
        </w:rPr>
        <w:t>components</w:t>
      </w:r>
      <w:r>
        <w:rPr>
          <w:rFonts w:ascii="Arial" w:hAnsi="Arial"/>
          <w:sz w:val="24"/>
        </w:rPr>
        <w:t xml:space="preserve"> into food in amounts which may:</w:t>
      </w:r>
    </w:p>
    <w:p w14:paraId="7277F709" w14:textId="03649AF3" w:rsidR="006A45B9" w:rsidRPr="007E1492" w:rsidRDefault="00CA4846" w:rsidP="00680522">
      <w:pPr>
        <w:pStyle w:val="Odsekzoznamu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</w:t>
      </w:r>
      <w:r w:rsidR="006A45B9">
        <w:rPr>
          <w:rFonts w:ascii="Arial" w:hAnsi="Arial"/>
          <w:sz w:val="24"/>
        </w:rPr>
        <w:t xml:space="preserve">ose a health </w:t>
      </w:r>
      <w:proofErr w:type="gramStart"/>
      <w:r w:rsidR="006A45B9">
        <w:rPr>
          <w:rFonts w:ascii="Arial" w:hAnsi="Arial"/>
          <w:sz w:val="24"/>
        </w:rPr>
        <w:t>risk;</w:t>
      </w:r>
      <w:proofErr w:type="gramEnd"/>
    </w:p>
    <w:p w14:paraId="7F4D0EB3" w14:textId="1AAB000C" w:rsidR="006A45B9" w:rsidRPr="000B1548" w:rsidRDefault="00CA4846" w:rsidP="00680522">
      <w:pPr>
        <w:pStyle w:val="norm2"/>
        <w:numPr>
          <w:ilvl w:val="0"/>
          <w:numId w:val="3"/>
        </w:numPr>
        <w:shd w:val="clear" w:color="auto" w:fill="FFFFFF"/>
        <w:spacing w:before="0"/>
        <w:ind w:left="1077" w:hanging="357"/>
        <w:rPr>
          <w:rFonts w:ascii="Arial" w:eastAsiaTheme="minorHAnsi" w:hAnsi="Arial" w:cs="Arial"/>
        </w:rPr>
      </w:pPr>
      <w:r>
        <w:rPr>
          <w:rFonts w:ascii="Arial" w:hAnsi="Arial"/>
        </w:rPr>
        <w:t>c</w:t>
      </w:r>
      <w:r w:rsidR="006A45B9">
        <w:rPr>
          <w:rFonts w:ascii="Arial" w:hAnsi="Arial"/>
        </w:rPr>
        <w:t xml:space="preserve">ause an unacceptable change in the food </w:t>
      </w:r>
      <w:proofErr w:type="gramStart"/>
      <w:r w:rsidR="006A45B9">
        <w:rPr>
          <w:rFonts w:ascii="Arial" w:hAnsi="Arial"/>
        </w:rPr>
        <w:t>contents;</w:t>
      </w:r>
      <w:proofErr w:type="gramEnd"/>
    </w:p>
    <w:p w14:paraId="4A39E1BD" w14:textId="6FEDCF84" w:rsidR="006A45B9" w:rsidRDefault="00CA4846" w:rsidP="00680522">
      <w:pPr>
        <w:pStyle w:val="norm2"/>
        <w:numPr>
          <w:ilvl w:val="0"/>
          <w:numId w:val="3"/>
        </w:numPr>
        <w:shd w:val="clear" w:color="auto" w:fill="FFFFFF"/>
        <w:spacing w:before="0"/>
        <w:ind w:left="1077" w:hanging="357"/>
        <w:rPr>
          <w:rFonts w:ascii="Arial" w:eastAsiaTheme="minorHAnsi" w:hAnsi="Arial" w:cs="Arial"/>
        </w:rPr>
      </w:pPr>
      <w:r>
        <w:rPr>
          <w:rFonts w:ascii="Arial" w:hAnsi="Arial"/>
        </w:rPr>
        <w:t>c</w:t>
      </w:r>
      <w:r w:rsidR="006A45B9">
        <w:rPr>
          <w:rFonts w:ascii="Arial" w:hAnsi="Arial"/>
        </w:rPr>
        <w:t>ause a deterioration of organoleptic qualities of foods</w:t>
      </w:r>
      <w:r w:rsidR="001E1C85">
        <w:rPr>
          <w:rFonts w:ascii="Arial" w:hAnsi="Arial"/>
        </w:rPr>
        <w:t>.</w:t>
      </w:r>
    </w:p>
    <w:p w14:paraId="0BB4FFE1" w14:textId="77777777" w:rsidR="006A45B9" w:rsidRDefault="006A45B9" w:rsidP="006A45B9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0028659D" w14:textId="7E951109" w:rsidR="00680522" w:rsidRPr="00441A65" w:rsidRDefault="00467BA0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In what way</w:t>
      </w:r>
      <w:r w:rsidR="00680522">
        <w:rPr>
          <w:rFonts w:ascii="Arial" w:hAnsi="Arial"/>
          <w:b/>
          <w:sz w:val="24"/>
        </w:rPr>
        <w:t xml:space="preserve"> am I obliged to declare that materials/objects meet the requirements for contact with food? </w:t>
      </w:r>
    </w:p>
    <w:p w14:paraId="03895B32" w14:textId="1FE46D7B" w:rsidR="00D82EFF" w:rsidRDefault="00680522" w:rsidP="00D82EFF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 providing a written Declaration of Conformity - a confirmation that these materials and objects comply with relevant regulations. </w:t>
      </w:r>
    </w:p>
    <w:p w14:paraId="0361556B" w14:textId="77777777" w:rsidR="00D82EFF" w:rsidRDefault="00D82EFF" w:rsidP="00D82EFF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58996DE1" w14:textId="376C1E5E" w:rsidR="002A0464" w:rsidRPr="002A0464" w:rsidRDefault="002A0464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What is the content of Declaration of Conformity? </w:t>
      </w:r>
    </w:p>
    <w:p w14:paraId="0355AF87" w14:textId="77777777" w:rsidR="00D82EFF" w:rsidRDefault="00D82EFF" w:rsidP="00D82EFF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Declarations of conformity contain:</w:t>
      </w:r>
    </w:p>
    <w:p w14:paraId="7016C710" w14:textId="14A0D795" w:rsidR="00D82EFF" w:rsidRDefault="00B37689" w:rsidP="00D82EFF">
      <w:pPr>
        <w:pStyle w:val="Odsekzoznamu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</w:t>
      </w:r>
      <w:r w:rsidR="00D82EFF">
        <w:rPr>
          <w:rFonts w:ascii="Arial" w:hAnsi="Arial"/>
          <w:sz w:val="24"/>
        </w:rPr>
        <w:t xml:space="preserve"> list of regulations which are relevant for the given materials/objects,</w:t>
      </w:r>
    </w:p>
    <w:p w14:paraId="39AD14A1" w14:textId="5164A8C8" w:rsidR="0084557B" w:rsidRPr="0084557B" w:rsidRDefault="00B37689" w:rsidP="0084557B">
      <w:pPr>
        <w:pStyle w:val="Odsekzoznamu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</w:t>
      </w:r>
      <w:r w:rsidR="0084557B">
        <w:rPr>
          <w:rFonts w:ascii="Arial" w:hAnsi="Arial"/>
          <w:sz w:val="24"/>
        </w:rPr>
        <w:t xml:space="preserve"> binding declaration which states that based on carried out tests the given materials and objects meet the requirements of the stated regulations (it is necessary to </w:t>
      </w:r>
      <w:r w:rsidR="0085347E">
        <w:rPr>
          <w:rFonts w:ascii="Arial" w:hAnsi="Arial"/>
          <w:sz w:val="24"/>
        </w:rPr>
        <w:t>store</w:t>
      </w:r>
      <w:r w:rsidR="0084557B">
        <w:rPr>
          <w:rFonts w:ascii="Arial" w:hAnsi="Arial"/>
          <w:sz w:val="24"/>
        </w:rPr>
        <w:t xml:space="preserve"> the test results themselves and further documentation for the purposes of a potential check by relevant authorities)</w:t>
      </w:r>
    </w:p>
    <w:p w14:paraId="299EB88A" w14:textId="6BB24FF1" w:rsidR="0084557B" w:rsidRDefault="00D71DC1" w:rsidP="00D82EFF">
      <w:pPr>
        <w:pStyle w:val="Odsekzoznamu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</w:t>
      </w:r>
      <w:r w:rsidR="0084557B">
        <w:rPr>
          <w:rFonts w:ascii="Arial" w:hAnsi="Arial"/>
          <w:sz w:val="24"/>
        </w:rPr>
        <w:t xml:space="preserve">ther specifications of the applied materials/objects. </w:t>
      </w:r>
    </w:p>
    <w:p w14:paraId="32C852BF" w14:textId="77777777" w:rsidR="002A0464" w:rsidRDefault="002A0464" w:rsidP="00680522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0E9C00AB" w14:textId="5B977999" w:rsidR="0084557B" w:rsidRPr="002A0464" w:rsidRDefault="0084557B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Where can I find a list of regulations/requirements for materials/objects intended to come into contact with food and further information? </w:t>
      </w:r>
    </w:p>
    <w:p w14:paraId="069FE3BD" w14:textId="647983CF" w:rsidR="008A303C" w:rsidRDefault="008A303C" w:rsidP="0084557B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On European Commission </w:t>
      </w:r>
      <w:r w:rsidR="00C41400">
        <w:rPr>
          <w:rFonts w:ascii="Arial" w:hAnsi="Arial"/>
          <w:sz w:val="24"/>
        </w:rPr>
        <w:t>websites,</w:t>
      </w:r>
      <w:r>
        <w:rPr>
          <w:rFonts w:ascii="Arial" w:hAnsi="Arial"/>
          <w:sz w:val="24"/>
        </w:rPr>
        <w:t xml:space="preserve"> </w:t>
      </w:r>
      <w:r w:rsidR="00C41400">
        <w:rPr>
          <w:rFonts w:ascii="Arial" w:hAnsi="Arial"/>
          <w:sz w:val="24"/>
        </w:rPr>
        <w:t>section</w:t>
      </w:r>
      <w:r>
        <w:rPr>
          <w:rFonts w:ascii="Arial" w:hAnsi="Arial"/>
          <w:sz w:val="24"/>
        </w:rPr>
        <w:t xml:space="preserve"> Food Safety, Food Contact Materials (FCM)</w:t>
      </w:r>
    </w:p>
    <w:p w14:paraId="7C724956" w14:textId="2D505275" w:rsidR="008A303C" w:rsidRDefault="00EE4F1D" w:rsidP="0084557B">
      <w:pPr>
        <w:pStyle w:val="Odsekzoznamu"/>
        <w:jc w:val="both"/>
        <w:rPr>
          <w:rFonts w:ascii="Arial" w:hAnsi="Arial" w:cs="Arial"/>
          <w:sz w:val="24"/>
          <w:szCs w:val="24"/>
        </w:rPr>
      </w:pPr>
      <w:hyperlink r:id="rId10" w:history="1">
        <w:r w:rsidR="00041A0C">
          <w:rPr>
            <w:rStyle w:val="Hypertextovprepojenie"/>
            <w:rFonts w:ascii="Arial" w:hAnsi="Arial"/>
            <w:sz w:val="24"/>
          </w:rPr>
          <w:t>https://food.ec.europa.eu/safety/chemical-safety/food-contact-materials_en</w:t>
        </w:r>
      </w:hyperlink>
    </w:p>
    <w:p w14:paraId="6335FB6E" w14:textId="7D781004" w:rsidR="008A303C" w:rsidRDefault="00D011A6" w:rsidP="008A303C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6B70D8B1" wp14:editId="10389F32">
            <wp:simplePos x="0" y="0"/>
            <wp:positionH relativeFrom="column">
              <wp:posOffset>617855</wp:posOffset>
            </wp:positionH>
            <wp:positionV relativeFrom="paragraph">
              <wp:posOffset>68580</wp:posOffset>
            </wp:positionV>
            <wp:extent cx="5029200" cy="2766282"/>
            <wp:effectExtent l="0" t="0" r="0" b="0"/>
            <wp:wrapTight wrapText="bothSides">
              <wp:wrapPolygon edited="0">
                <wp:start x="0" y="0"/>
                <wp:lineTo x="0" y="21421"/>
                <wp:lineTo x="21518" y="21421"/>
                <wp:lineTo x="21518" y="0"/>
                <wp:lineTo x="0" y="0"/>
              </wp:wrapPolygon>
            </wp:wrapTight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6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B91FD" w14:textId="77777777" w:rsidR="008A303C" w:rsidRDefault="008A303C" w:rsidP="008A303C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 </w:t>
      </w:r>
    </w:p>
    <w:p w14:paraId="56ACBC9C" w14:textId="77777777" w:rsidR="008A303C" w:rsidRDefault="008A303C" w:rsidP="0084557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4DB3EA92" w14:textId="77777777" w:rsidR="0084557B" w:rsidRPr="006A45B9" w:rsidRDefault="0084557B" w:rsidP="0084557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3DF70237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11827B4E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6BFB5BB9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409CFBDC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2C653606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5549B55D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59139ADC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15FC4C40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7BE46593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6B3EB34C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181C58F0" w14:textId="77777777" w:rsid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76ED0F8B" w14:textId="77777777" w:rsidR="00FE074B" w:rsidRPr="00FE074B" w:rsidRDefault="00FE074B" w:rsidP="00FE07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474206AA" w14:textId="11C30FAC" w:rsidR="00FE074B" w:rsidRDefault="00897073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What materials/objects do further special regulations apply to? </w:t>
      </w:r>
    </w:p>
    <w:p w14:paraId="4497F773" w14:textId="1F549110" w:rsidR="00441A65" w:rsidRDefault="00897073" w:rsidP="00897073">
      <w:pPr>
        <w:pStyle w:val="Odsekzoznamu"/>
        <w:jc w:val="both"/>
        <w:rPr>
          <w:noProof/>
        </w:rPr>
      </w:pPr>
      <w:r>
        <w:rPr>
          <w:rFonts w:ascii="Arial" w:hAnsi="Arial"/>
          <w:sz w:val="24"/>
        </w:rPr>
        <w:t>They apply to materials/objects stated in</w:t>
      </w:r>
      <w:r w:rsidR="00A7315C">
        <w:rPr>
          <w:rFonts w:ascii="Arial" w:hAnsi="Arial"/>
          <w:sz w:val="24"/>
        </w:rPr>
        <w:t xml:space="preserve"> Anne</w:t>
      </w:r>
      <w:r>
        <w:rPr>
          <w:rFonts w:ascii="Arial" w:hAnsi="Arial"/>
          <w:sz w:val="24"/>
        </w:rPr>
        <w:t>x I. of Regulation (EC) No 1935/2004 of the European Parliament and of the Council on materials and articles intended to come into contact with food:</w:t>
      </w:r>
      <w:r>
        <w:t xml:space="preserve"> </w:t>
      </w:r>
    </w:p>
    <w:p w14:paraId="0813DE3B" w14:textId="77777777" w:rsidR="00441A65" w:rsidRDefault="00441A65" w:rsidP="00897073">
      <w:pPr>
        <w:pStyle w:val="Odsekzoznamu"/>
        <w:jc w:val="both"/>
        <w:rPr>
          <w:noProof/>
        </w:rPr>
      </w:pPr>
    </w:p>
    <w:p w14:paraId="7D7C0E2F" w14:textId="10C6FA8A" w:rsidR="00897073" w:rsidRDefault="00A7315C" w:rsidP="00897073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73626C" wp14:editId="2593A9AB">
            <wp:extent cx="4478400" cy="4863600"/>
            <wp:effectExtent l="0" t="0" r="0" b="0"/>
            <wp:docPr id="512626082" name="Obrázek 1" descr="Obsah obrázku text, snímek obrazovky, dokument, Písmo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26082" name="Obrázek 1" descr="Obsah obrázku text, snímek obrazovky, dokument, Písmo&#10;&#10;Popis byl vytvořen automaticky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4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4B5C" w14:textId="68CE34DC" w:rsidR="00E33402" w:rsidRPr="00FE074B" w:rsidRDefault="00E33402" w:rsidP="00BB08E6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7C9A96D4" w14:textId="6B580E54" w:rsidR="00897073" w:rsidRPr="00441A65" w:rsidRDefault="00897073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What documentation is required if you want to supply Plzeňský Prazdroj, </w:t>
      </w:r>
      <w:proofErr w:type="spellStart"/>
      <w:r>
        <w:rPr>
          <w:rFonts w:ascii="Arial" w:hAnsi="Arial"/>
          <w:b/>
          <w:sz w:val="24"/>
        </w:rPr>
        <w:t>a.s.</w:t>
      </w:r>
      <w:proofErr w:type="spellEnd"/>
      <w:r>
        <w:rPr>
          <w:rFonts w:ascii="Arial" w:hAnsi="Arial"/>
          <w:b/>
          <w:sz w:val="24"/>
        </w:rPr>
        <w:t xml:space="preserve"> and Plzeňský Prazdroj </w:t>
      </w:r>
      <w:proofErr w:type="spellStart"/>
      <w:r>
        <w:rPr>
          <w:rFonts w:ascii="Arial" w:hAnsi="Arial"/>
          <w:b/>
          <w:sz w:val="24"/>
        </w:rPr>
        <w:t>Slovensko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a.s.</w:t>
      </w:r>
      <w:proofErr w:type="spellEnd"/>
      <w:r>
        <w:rPr>
          <w:rFonts w:ascii="Arial" w:hAnsi="Arial"/>
          <w:b/>
          <w:sz w:val="24"/>
        </w:rPr>
        <w:t xml:space="preserve"> with materials and objects intended to come into contact with food?  </w:t>
      </w:r>
    </w:p>
    <w:p w14:paraId="0F83C58E" w14:textId="18B54166" w:rsidR="00897073" w:rsidRDefault="00897073" w:rsidP="00E33402">
      <w:pPr>
        <w:pStyle w:val="norm2"/>
        <w:shd w:val="clear" w:color="auto" w:fill="FFFFFF"/>
        <w:spacing w:before="0"/>
        <w:ind w:left="720"/>
        <w:rPr>
          <w:rFonts w:ascii="Arial" w:eastAsiaTheme="minorHAnsi" w:hAnsi="Arial" w:cs="Arial"/>
        </w:rPr>
      </w:pPr>
      <w:r>
        <w:rPr>
          <w:rFonts w:ascii="Arial" w:hAnsi="Arial"/>
          <w:b/>
          <w:bCs/>
        </w:rPr>
        <w:t>It is necessary to provide</w:t>
      </w:r>
      <w:r>
        <w:rPr>
          <w:rFonts w:ascii="Arial" w:hAnsi="Arial"/>
        </w:rPr>
        <w:t xml:space="preserve"> the following documentation, already during the selection process: </w:t>
      </w:r>
    </w:p>
    <w:p w14:paraId="4D3E83E5" w14:textId="37118CC0" w:rsidR="00897073" w:rsidRPr="00C1417D" w:rsidRDefault="00897073" w:rsidP="00897073">
      <w:pPr>
        <w:pStyle w:val="norm2"/>
        <w:numPr>
          <w:ilvl w:val="0"/>
          <w:numId w:val="6"/>
        </w:numPr>
        <w:shd w:val="clear" w:color="auto" w:fill="FFFFFF"/>
        <w:ind w:left="1134"/>
        <w:rPr>
          <w:rFonts w:ascii="Arial" w:eastAsiaTheme="minorHAnsi" w:hAnsi="Arial" w:cs="Arial"/>
          <w:b/>
          <w:bCs/>
        </w:rPr>
      </w:pPr>
      <w:r>
        <w:rPr>
          <w:rFonts w:ascii="Arial" w:hAnsi="Arial"/>
        </w:rPr>
        <w:t xml:space="preserve">Declaration of </w:t>
      </w:r>
      <w:r w:rsidR="00615330">
        <w:rPr>
          <w:rFonts w:ascii="Arial" w:hAnsi="Arial"/>
        </w:rPr>
        <w:t>C</w:t>
      </w:r>
      <w:r>
        <w:rPr>
          <w:rFonts w:ascii="Arial" w:hAnsi="Arial"/>
        </w:rPr>
        <w:t>onformity for products and materials intended to come into contact with food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In all cases, it is necessary to declare conformity with:</w:t>
      </w:r>
    </w:p>
    <w:p w14:paraId="7256C194" w14:textId="62948A7F" w:rsidR="00897073" w:rsidRDefault="00E33402" w:rsidP="00897073">
      <w:pPr>
        <w:pStyle w:val="norm2"/>
        <w:numPr>
          <w:ilvl w:val="0"/>
          <w:numId w:val="7"/>
        </w:numPr>
        <w:shd w:val="clear" w:color="auto" w:fill="FFFFFF"/>
        <w:ind w:left="1418"/>
        <w:rPr>
          <w:rFonts w:ascii="Arial" w:eastAsiaTheme="minorHAnsi" w:hAnsi="Arial" w:cs="Arial"/>
        </w:rPr>
      </w:pPr>
      <w:r>
        <w:rPr>
          <w:rFonts w:ascii="Arial" w:hAnsi="Arial"/>
        </w:rPr>
        <w:t>Regulation (EC) No 1935/2004 of the European Parliament and of the Council on materials and articles intended to come into contact with food</w:t>
      </w:r>
    </w:p>
    <w:p w14:paraId="054D3F5C" w14:textId="06CD5A52" w:rsidR="00BD42B3" w:rsidRDefault="00E33402" w:rsidP="00897073">
      <w:pPr>
        <w:pStyle w:val="norm2"/>
        <w:numPr>
          <w:ilvl w:val="0"/>
          <w:numId w:val="7"/>
        </w:numPr>
        <w:shd w:val="clear" w:color="auto" w:fill="FFFFFF"/>
        <w:ind w:left="1418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Commission Regulation (EC) No 2023/2006 on good manufacturing practice for materials and articles intended to come into contact with food  </w:t>
      </w:r>
    </w:p>
    <w:p w14:paraId="0F0EA946" w14:textId="77777777" w:rsidR="00BD42B3" w:rsidRDefault="00BD42B3">
      <w:pPr>
        <w:rPr>
          <w:rFonts w:ascii="Arial" w:hAnsi="Arial" w:cs="Arial"/>
          <w:sz w:val="24"/>
          <w:szCs w:val="24"/>
        </w:rPr>
      </w:pPr>
      <w:r>
        <w:br w:type="page"/>
      </w:r>
    </w:p>
    <w:p w14:paraId="7F8451CF" w14:textId="77777777" w:rsidR="00897073" w:rsidRDefault="00897073" w:rsidP="00897073">
      <w:pPr>
        <w:pStyle w:val="norm2"/>
        <w:numPr>
          <w:ilvl w:val="0"/>
          <w:numId w:val="6"/>
        </w:numPr>
        <w:shd w:val="clear" w:color="auto" w:fill="FFFFFF"/>
        <w:ind w:left="1134"/>
        <w:rPr>
          <w:rFonts w:ascii="Arial" w:eastAsiaTheme="minorHAnsi" w:hAnsi="Arial" w:cs="Arial"/>
        </w:rPr>
      </w:pPr>
      <w:r>
        <w:rPr>
          <w:rFonts w:ascii="Arial" w:hAnsi="Arial"/>
          <w:b/>
          <w:bCs/>
        </w:rPr>
        <w:lastRenderedPageBreak/>
        <w:t>In relevant cases</w:t>
      </w:r>
      <w:r>
        <w:rPr>
          <w:rFonts w:ascii="Arial" w:hAnsi="Arial"/>
        </w:rPr>
        <w:t xml:space="preserve"> it is necessary to </w:t>
      </w:r>
      <w:r>
        <w:rPr>
          <w:rFonts w:ascii="Arial" w:hAnsi="Arial"/>
          <w:b/>
          <w:bCs/>
        </w:rPr>
        <w:t>declare conformity with</w:t>
      </w:r>
      <w:r>
        <w:rPr>
          <w:rFonts w:ascii="Arial" w:hAnsi="Arial"/>
        </w:rPr>
        <w:t>:</w:t>
      </w:r>
    </w:p>
    <w:p w14:paraId="1243648B" w14:textId="0067E0DD" w:rsidR="00897073" w:rsidRPr="001E2611" w:rsidRDefault="00E33402" w:rsidP="001E2611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</w:rPr>
      </w:pPr>
      <w:r>
        <w:rPr>
          <w:rFonts w:ascii="Arial" w:hAnsi="Arial"/>
        </w:rPr>
        <w:t>Regulation (EC) No 10/2011 of the European Parliament and of the Council on materials and articles intended to come into contact with food</w:t>
      </w:r>
      <w:r w:rsidR="00AD15E3">
        <w:rPr>
          <w:rFonts w:ascii="Arial" w:hAnsi="Arial"/>
        </w:rPr>
        <w:t xml:space="preserve">. </w:t>
      </w:r>
      <w:r w:rsidR="000A4FBF">
        <w:rPr>
          <w:rFonts w:ascii="Arial" w:hAnsi="Arial"/>
        </w:rPr>
        <w:t>The</w:t>
      </w:r>
      <w:r>
        <w:rPr>
          <w:rFonts w:ascii="Arial" w:hAnsi="Arial"/>
        </w:rPr>
        <w:t xml:space="preserve"> written Declaration of Conformity for contact with plastic materials must contain details stated in A</w:t>
      </w:r>
      <w:r w:rsidR="001E2611">
        <w:rPr>
          <w:rFonts w:ascii="Arial" w:hAnsi="Arial"/>
        </w:rPr>
        <w:t>n</w:t>
      </w:r>
      <w:r w:rsidRPr="001E2611">
        <w:rPr>
          <w:rFonts w:ascii="Arial" w:hAnsi="Arial"/>
        </w:rPr>
        <w:t>n</w:t>
      </w:r>
      <w:r w:rsidR="001E2611">
        <w:rPr>
          <w:rFonts w:ascii="Arial" w:hAnsi="Arial"/>
        </w:rPr>
        <w:t>e</w:t>
      </w:r>
      <w:r w:rsidRPr="001E2611">
        <w:rPr>
          <w:rFonts w:ascii="Arial" w:hAnsi="Arial"/>
        </w:rPr>
        <w:t>x IV of  Regulation No 10/2011,</w:t>
      </w:r>
    </w:p>
    <w:p w14:paraId="3E74E32A" w14:textId="0A28E54D" w:rsidR="00897073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</w:rPr>
      </w:pPr>
      <w:r>
        <w:rPr>
          <w:rFonts w:ascii="Arial" w:hAnsi="Arial"/>
        </w:rPr>
        <w:t>Regulation (EC) No 282/2008 of the European Parliament and of the Council on materials and articles made of recycled plastic intended to come into contact with food,</w:t>
      </w:r>
    </w:p>
    <w:p w14:paraId="253BA4B7" w14:textId="0295BF18" w:rsidR="00897073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</w:rPr>
      </w:pPr>
      <w:r>
        <w:rPr>
          <w:rFonts w:ascii="Arial" w:hAnsi="Arial"/>
        </w:rPr>
        <w:t>Regulation (EC) No 450/2009 of the European Parliament and of the Council on intelligent materials and articles intended to come into contact with food,</w:t>
      </w:r>
    </w:p>
    <w:p w14:paraId="7C2ACDE1" w14:textId="09927799" w:rsidR="00897073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</w:rPr>
      </w:pPr>
      <w:r>
        <w:rPr>
          <w:rFonts w:ascii="Arial" w:hAnsi="Arial"/>
        </w:rPr>
        <w:t>Directive EU No 19/2007 on plastic materials and objects,</w:t>
      </w:r>
    </w:p>
    <w:p w14:paraId="112922EF" w14:textId="31DD64CF" w:rsidR="00897073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</w:rPr>
      </w:pPr>
      <w:r>
        <w:rPr>
          <w:rFonts w:ascii="Arial" w:hAnsi="Arial"/>
        </w:rPr>
        <w:t>Directive EU No 84/500 on ceramic objects,</w:t>
      </w:r>
    </w:p>
    <w:p w14:paraId="0FC14BE9" w14:textId="77777777" w:rsidR="00E33402" w:rsidRPr="00E33402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and other national regulations within the Czech Republic and the Slovak Republic. </w:t>
      </w:r>
    </w:p>
    <w:p w14:paraId="10D8DB08" w14:textId="6D73D50D" w:rsidR="00D54469" w:rsidRPr="00E33402" w:rsidRDefault="00D54469" w:rsidP="00E33402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141BE28B" w14:textId="5A65B385" w:rsidR="00897073" w:rsidRPr="00441A65" w:rsidRDefault="00D54469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What is the validity period of the Declaration of Conformity and when does the duty to issue a new Declaration of Conformity arise?</w:t>
      </w:r>
    </w:p>
    <w:p w14:paraId="0CCEA832" w14:textId="77777777" w:rsidR="00897073" w:rsidRDefault="00897073" w:rsidP="00E33402">
      <w:pPr>
        <w:pStyle w:val="norm2"/>
        <w:numPr>
          <w:ilvl w:val="0"/>
          <w:numId w:val="10"/>
        </w:numPr>
        <w:shd w:val="clear" w:color="auto" w:fill="FFFFFF"/>
        <w:spacing w:before="0"/>
        <w:ind w:left="1134" w:hanging="357"/>
        <w:rPr>
          <w:rFonts w:ascii="Arial" w:eastAsiaTheme="minorHAnsi" w:hAnsi="Arial" w:cs="Arial"/>
        </w:rPr>
      </w:pPr>
      <w:r>
        <w:rPr>
          <w:rFonts w:ascii="Arial" w:hAnsi="Arial"/>
        </w:rPr>
        <w:t>The Declaration of Conformity regarding the contact of materials/objects with food is issued by the producer based on the results of tests/expert assessment (migration tests) which are determined by European or national legislation. The validity of the Declaration of Conformity is limitless within the period stated by its issuer.</w:t>
      </w:r>
    </w:p>
    <w:p w14:paraId="6F173464" w14:textId="77777777" w:rsidR="00897073" w:rsidRDefault="00897073" w:rsidP="00897073">
      <w:pPr>
        <w:pStyle w:val="norm2"/>
        <w:numPr>
          <w:ilvl w:val="0"/>
          <w:numId w:val="10"/>
        </w:numPr>
        <w:shd w:val="clear" w:color="auto" w:fill="FFFFFF"/>
        <w:ind w:left="1134"/>
        <w:rPr>
          <w:rFonts w:ascii="Arial" w:eastAsiaTheme="minorHAnsi" w:hAnsi="Arial" w:cs="Arial"/>
        </w:rPr>
      </w:pPr>
      <w:r>
        <w:rPr>
          <w:rFonts w:ascii="Arial" w:hAnsi="Arial"/>
        </w:rPr>
        <w:t>It is necessary to issue a new Declaration if new tests of the material/object (new migration tests) intended to come into contact with food have been done.</w:t>
      </w:r>
    </w:p>
    <w:p w14:paraId="6C829C33" w14:textId="77777777" w:rsidR="00E33402" w:rsidRPr="00E33402" w:rsidRDefault="00E33402" w:rsidP="00E33402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6841E34D" w14:textId="77777777" w:rsidR="00897073" w:rsidRPr="00441A65" w:rsidRDefault="00897073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When is it necessary to do new Migration tests?</w:t>
      </w:r>
    </w:p>
    <w:p w14:paraId="42B9EE4B" w14:textId="29C53717" w:rsidR="00897073" w:rsidRDefault="00897073" w:rsidP="00E33402">
      <w:pPr>
        <w:pStyle w:val="norm2"/>
        <w:numPr>
          <w:ilvl w:val="0"/>
          <w:numId w:val="11"/>
        </w:numPr>
        <w:shd w:val="clear" w:color="auto" w:fill="FFFFFF"/>
        <w:spacing w:before="0"/>
        <w:ind w:left="1134" w:hanging="357"/>
        <w:rPr>
          <w:rFonts w:ascii="Arial" w:eastAsiaTheme="minorHAnsi" w:hAnsi="Arial" w:cs="Arial"/>
        </w:rPr>
      </w:pPr>
      <w:r>
        <w:rPr>
          <w:rFonts w:ascii="Arial" w:hAnsi="Arial"/>
        </w:rPr>
        <w:t>In case that an expert (an independent accredited institution/organisation) has limited the validity period of the assessment/certification and</w:t>
      </w:r>
      <w:r w:rsidR="006B6CAE">
        <w:rPr>
          <w:rFonts w:ascii="Arial" w:hAnsi="Arial"/>
        </w:rPr>
        <w:t>/or</w:t>
      </w:r>
      <w:r>
        <w:rPr>
          <w:rFonts w:ascii="Arial" w:hAnsi="Arial"/>
        </w:rPr>
        <w:t xml:space="preserve"> the expiration period has passed. </w:t>
      </w:r>
    </w:p>
    <w:p w14:paraId="71F78D9B" w14:textId="77777777" w:rsidR="00897073" w:rsidRDefault="00897073" w:rsidP="00897073">
      <w:pPr>
        <w:pStyle w:val="norm2"/>
        <w:numPr>
          <w:ilvl w:val="0"/>
          <w:numId w:val="11"/>
        </w:numPr>
        <w:shd w:val="clear" w:color="auto" w:fill="FFFFFF"/>
        <w:ind w:left="1134"/>
        <w:rPr>
          <w:rFonts w:ascii="Arial" w:eastAsiaTheme="minorHAnsi" w:hAnsi="Arial" w:cs="Arial"/>
        </w:rPr>
      </w:pPr>
      <w:r>
        <w:rPr>
          <w:rFonts w:ascii="Arial" w:hAnsi="Arial"/>
        </w:rPr>
        <w:t>In case that:</w:t>
      </w:r>
    </w:p>
    <w:p w14:paraId="410075C2" w14:textId="70F38AF9" w:rsidR="00897073" w:rsidRDefault="00E33402" w:rsidP="00897073">
      <w:pPr>
        <w:pStyle w:val="norm2"/>
        <w:numPr>
          <w:ilvl w:val="0"/>
          <w:numId w:val="12"/>
        </w:numPr>
        <w:shd w:val="clear" w:color="auto" w:fill="FFFFFF"/>
        <w:ind w:left="1560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There has been a change in legal requirements -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>) the allowed migration limits for the monitored substances have become stricter, ii) testing of other substances present in the material/object was directed, iii) the testing methodology has been changed (</w:t>
      </w:r>
      <w:proofErr w:type="gramStart"/>
      <w:r>
        <w:rPr>
          <w:rFonts w:ascii="Arial" w:hAnsi="Arial"/>
        </w:rPr>
        <w:t>e.g.</w:t>
      </w:r>
      <w:proofErr w:type="gramEnd"/>
      <w:r>
        <w:rPr>
          <w:rFonts w:ascii="Arial" w:hAnsi="Arial"/>
        </w:rPr>
        <w:t xml:space="preserve"> Regulation (EU) No 1245/2020), etc.),</w:t>
      </w:r>
    </w:p>
    <w:p w14:paraId="49B27675" w14:textId="62BFBE47" w:rsidR="00897073" w:rsidRPr="00042A46" w:rsidRDefault="00E33402" w:rsidP="00897073">
      <w:pPr>
        <w:pStyle w:val="norm2"/>
        <w:numPr>
          <w:ilvl w:val="0"/>
          <w:numId w:val="12"/>
        </w:numPr>
        <w:shd w:val="clear" w:color="auto" w:fill="FFFFFF"/>
        <w:ind w:left="1560"/>
        <w:rPr>
          <w:rFonts w:ascii="Arial" w:eastAsiaTheme="minorHAnsi" w:hAnsi="Arial" w:cs="Arial"/>
        </w:rPr>
      </w:pPr>
      <w:r>
        <w:rPr>
          <w:rFonts w:ascii="Arial" w:hAnsi="Arial"/>
        </w:rPr>
        <w:t>The producer has changed the contents of their material/objects and it is necessary to test the new components of the material.</w:t>
      </w:r>
    </w:p>
    <w:p w14:paraId="76ACC4C5" w14:textId="77777777" w:rsidR="00897073" w:rsidRDefault="00897073" w:rsidP="00897073">
      <w:pPr>
        <w:pStyle w:val="Odsekzoznamu"/>
        <w:ind w:left="1560"/>
        <w:jc w:val="both"/>
        <w:rPr>
          <w:rFonts w:ascii="Arial" w:hAnsi="Arial" w:cs="Arial"/>
          <w:sz w:val="24"/>
          <w:szCs w:val="24"/>
        </w:rPr>
      </w:pPr>
    </w:p>
    <w:p w14:paraId="2415918B" w14:textId="77777777" w:rsidR="00441A65" w:rsidRPr="00441A65" w:rsidRDefault="00DF7C4E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What does the term Total Migration Limit mean? </w:t>
      </w:r>
    </w:p>
    <w:p w14:paraId="64080A5A" w14:textId="7D26B779" w:rsidR="00BD42B3" w:rsidRDefault="00DF7C4E" w:rsidP="00441A65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The highest </w:t>
      </w:r>
      <w:proofErr w:type="gramStart"/>
      <w:r>
        <w:rPr>
          <w:rFonts w:ascii="Arial" w:hAnsi="Arial"/>
          <w:sz w:val="24"/>
        </w:rPr>
        <w:t>amount</w:t>
      </w:r>
      <w:proofErr w:type="gramEnd"/>
      <w:r>
        <w:rPr>
          <w:rFonts w:ascii="Arial" w:hAnsi="Arial"/>
          <w:sz w:val="24"/>
        </w:rPr>
        <w:t xml:space="preserve"> of non-volatile substances released into food or food simulants  </w:t>
      </w:r>
      <w:r w:rsidR="00797164">
        <w:rPr>
          <w:rFonts w:ascii="Arial" w:hAnsi="Arial"/>
          <w:sz w:val="24"/>
        </w:rPr>
        <w:t>allowed.</w:t>
      </w:r>
    </w:p>
    <w:p w14:paraId="22ADBD7B" w14:textId="6DC4C948" w:rsidR="00DF7C4E" w:rsidRPr="00441A65" w:rsidRDefault="00DF7C4E" w:rsidP="00441A65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615A5B22" w14:textId="77777777" w:rsidR="00441A65" w:rsidRPr="00441A65" w:rsidRDefault="00DF7C4E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What does the term Specific Migration Limit (SML) refer to?</w:t>
      </w:r>
    </w:p>
    <w:p w14:paraId="7E4ACCCE" w14:textId="6A7D3B57" w:rsidR="00DF7C4E" w:rsidRDefault="00DF7C4E" w:rsidP="00441A65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The highest allowed amount of a specific substance released from a material or object into food or food simulants.</w:t>
      </w:r>
    </w:p>
    <w:p w14:paraId="4FEB661E" w14:textId="77777777" w:rsidR="00E33402" w:rsidRPr="00441A65" w:rsidRDefault="00E33402" w:rsidP="00441A65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29936DB3" w14:textId="77777777" w:rsidR="00441A65" w:rsidRPr="00441A65" w:rsidRDefault="00DF7C4E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What does the term Total Specific Migration Limit (SML) refer to?</w:t>
      </w:r>
    </w:p>
    <w:p w14:paraId="169FF2B9" w14:textId="7F6D5AD8" w:rsidR="00DF7C4E" w:rsidRPr="0041388F" w:rsidRDefault="00DF7C4E" w:rsidP="00441A65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41388F">
        <w:rPr>
          <w:rFonts w:ascii="Arial" w:hAnsi="Arial"/>
          <w:sz w:val="24"/>
          <w:szCs w:val="24"/>
        </w:rPr>
        <w:t xml:space="preserve">The highest allowed </w:t>
      </w:r>
      <w:r w:rsidR="00F75358">
        <w:rPr>
          <w:rFonts w:ascii="Arial" w:hAnsi="Arial"/>
          <w:sz w:val="24"/>
          <w:szCs w:val="24"/>
        </w:rPr>
        <w:t xml:space="preserve">total </w:t>
      </w:r>
      <w:r w:rsidRPr="0041388F">
        <w:rPr>
          <w:rFonts w:ascii="Arial" w:hAnsi="Arial"/>
          <w:sz w:val="24"/>
          <w:szCs w:val="24"/>
        </w:rPr>
        <w:t xml:space="preserve">amount of individual substances released into food or food simulants expressed as the overall content of the stated substances. </w:t>
      </w:r>
      <w:r w:rsidRPr="00F75358">
        <w:rPr>
          <w:rFonts w:ascii="Arial" w:hAnsi="Arial" w:cs="Arial"/>
          <w:sz w:val="24"/>
          <w:szCs w:val="24"/>
        </w:rPr>
        <w:t xml:space="preserve">Materials and objects made of plastic must not release amounts succeeding 10 milligrams of their components into food simulants, specifically more 10 milligrams of all </w:t>
      </w:r>
      <w:r w:rsidR="00C34200">
        <w:rPr>
          <w:rFonts w:ascii="Arial" w:hAnsi="Arial" w:cs="Arial"/>
          <w:sz w:val="24"/>
          <w:szCs w:val="24"/>
        </w:rPr>
        <w:t>components</w:t>
      </w:r>
      <w:r w:rsidRPr="00F75358">
        <w:rPr>
          <w:rFonts w:ascii="Arial" w:hAnsi="Arial" w:cs="Arial"/>
          <w:sz w:val="24"/>
          <w:szCs w:val="24"/>
        </w:rPr>
        <w:t xml:space="preserve"> released together per 1 dm</w:t>
      </w:r>
      <w:r w:rsidRPr="00656290">
        <w:rPr>
          <w:rFonts w:ascii="Arial" w:hAnsi="Arial" w:cs="Arial"/>
          <w:sz w:val="24"/>
          <w:szCs w:val="24"/>
          <w:vertAlign w:val="superscript"/>
        </w:rPr>
        <w:t>2</w:t>
      </w:r>
      <w:r w:rsidRPr="00F75358">
        <w:rPr>
          <w:rFonts w:ascii="Arial" w:hAnsi="Arial" w:cs="Arial"/>
          <w:sz w:val="24"/>
          <w:szCs w:val="24"/>
        </w:rPr>
        <w:t xml:space="preserve"> of the surface which is in contact with food.</w:t>
      </w:r>
      <w:r w:rsidRPr="0041388F">
        <w:rPr>
          <w:sz w:val="24"/>
          <w:szCs w:val="24"/>
        </w:rPr>
        <w:t xml:space="preserve">  </w:t>
      </w:r>
      <w:r w:rsidRPr="0041388F">
        <w:rPr>
          <w:rFonts w:ascii="Arial" w:hAnsi="Arial"/>
          <w:sz w:val="24"/>
          <w:szCs w:val="24"/>
        </w:rPr>
        <w:t xml:space="preserve"> </w:t>
      </w:r>
    </w:p>
    <w:p w14:paraId="5A815987" w14:textId="77777777" w:rsidR="00BD42B3" w:rsidRDefault="00BD42B3" w:rsidP="00441A65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2A5F1293" w14:textId="77777777" w:rsidR="00441A65" w:rsidRPr="00441A65" w:rsidRDefault="00DF7C4E" w:rsidP="00441A65">
      <w:pPr>
        <w:pStyle w:val="Odsekzoznamu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What are Food Simulants? </w:t>
      </w:r>
    </w:p>
    <w:p w14:paraId="112F6EAA" w14:textId="7D83529C" w:rsidR="00DF7C4E" w:rsidRDefault="00DF7C4E" w:rsidP="00441A65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It is a testing medium simulating food; with its behaviour, it imitates the migration from materials for contact with food. A 3% acetic acid and </w:t>
      </w:r>
      <w:r w:rsidR="00041A0C"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>20% ethanol are used to simulate contact with beer.</w:t>
      </w:r>
    </w:p>
    <w:p w14:paraId="27AA1234" w14:textId="77777777" w:rsidR="00E33402" w:rsidRPr="00441A65" w:rsidRDefault="00E33402" w:rsidP="00441A65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1D7B779F" w14:textId="77777777" w:rsidR="00897073" w:rsidRDefault="00897073" w:rsidP="00897073">
      <w:pPr>
        <w:pStyle w:val="Odsekzoznamu"/>
        <w:ind w:left="1134"/>
        <w:jc w:val="both"/>
        <w:rPr>
          <w:rFonts w:ascii="Arial" w:hAnsi="Arial" w:cs="Arial"/>
          <w:sz w:val="24"/>
          <w:szCs w:val="24"/>
        </w:rPr>
      </w:pPr>
    </w:p>
    <w:sectPr w:rsidR="0089707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9336" w14:textId="77777777" w:rsidR="002806AA" w:rsidRDefault="002806AA" w:rsidP="00B71919">
      <w:pPr>
        <w:spacing w:after="0" w:line="240" w:lineRule="auto"/>
      </w:pPr>
      <w:r>
        <w:separator/>
      </w:r>
    </w:p>
  </w:endnote>
  <w:endnote w:type="continuationSeparator" w:id="0">
    <w:p w14:paraId="1AB11D4D" w14:textId="77777777" w:rsidR="002806AA" w:rsidRDefault="002806AA" w:rsidP="00B7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6482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3EFC96D" w14:textId="26150F8C" w:rsidR="00BD42B3" w:rsidRPr="00BD42B3" w:rsidRDefault="00BD42B3">
            <w:pPr>
              <w:pStyle w:val="Pta"/>
              <w:jc w:val="right"/>
              <w:rPr>
                <w:rFonts w:ascii="Arial" w:hAnsi="Arial" w:cs="Arial"/>
              </w:rPr>
            </w:pPr>
            <w:r w:rsidRPr="00BD42B3">
              <w:rPr>
                <w:rFonts w:ascii="Arial" w:hAnsi="Arial" w:cs="Arial"/>
                <w:b/>
                <w:sz w:val="24"/>
              </w:rPr>
              <w:fldChar w:fldCharType="begin"/>
            </w:r>
            <w:r w:rsidRPr="00BD42B3">
              <w:rPr>
                <w:rFonts w:ascii="Arial" w:hAnsi="Arial" w:cs="Arial"/>
                <w:b/>
              </w:rPr>
              <w:instrText>PAGE</w:instrText>
            </w:r>
            <w:r w:rsidRPr="00BD42B3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BD42B3">
              <w:rPr>
                <w:rFonts w:ascii="Arial" w:hAnsi="Arial" w:cs="Arial"/>
                <w:b/>
              </w:rPr>
              <w:t>2</w:t>
            </w:r>
            <w:r w:rsidRPr="00BD42B3">
              <w:rPr>
                <w:rFonts w:ascii="Arial" w:hAnsi="Arial" w:cs="Arial"/>
                <w:b/>
                <w:sz w:val="24"/>
              </w:rPr>
              <w:fldChar w:fldCharType="end"/>
            </w:r>
            <w:r>
              <w:rPr>
                <w:rFonts w:ascii="Arial" w:hAnsi="Arial"/>
                <w:b/>
                <w:sz w:val="24"/>
              </w:rPr>
              <w:t>/</w:t>
            </w:r>
            <w:r w:rsidRPr="00BD42B3">
              <w:rPr>
                <w:rFonts w:ascii="Arial" w:hAnsi="Arial" w:cs="Arial"/>
                <w:b/>
                <w:sz w:val="24"/>
              </w:rPr>
              <w:fldChar w:fldCharType="begin"/>
            </w:r>
            <w:r w:rsidRPr="00BD42B3">
              <w:rPr>
                <w:rFonts w:ascii="Arial" w:hAnsi="Arial" w:cs="Arial"/>
                <w:b/>
              </w:rPr>
              <w:instrText>NUMPAGES</w:instrText>
            </w:r>
            <w:r w:rsidRPr="00BD42B3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BD42B3">
              <w:rPr>
                <w:rFonts w:ascii="Arial" w:hAnsi="Arial" w:cs="Arial"/>
                <w:b/>
              </w:rPr>
              <w:t>2</w:t>
            </w:r>
            <w:r w:rsidRPr="00BD42B3">
              <w:rPr>
                <w:rFonts w:ascii="Arial" w:hAnsi="Arial" w:cs="Arial"/>
                <w:b/>
                <w:sz w:val="24"/>
              </w:rPr>
              <w:fldChar w:fldCharType="end"/>
            </w:r>
          </w:p>
        </w:sdtContent>
      </w:sdt>
    </w:sdtContent>
  </w:sdt>
  <w:p w14:paraId="4981E809" w14:textId="77777777" w:rsidR="00BD42B3" w:rsidRDefault="00BD42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B445" w14:textId="77777777" w:rsidR="002806AA" w:rsidRDefault="002806AA" w:rsidP="00B71919">
      <w:pPr>
        <w:spacing w:after="0" w:line="240" w:lineRule="auto"/>
      </w:pPr>
      <w:r>
        <w:separator/>
      </w:r>
    </w:p>
  </w:footnote>
  <w:footnote w:type="continuationSeparator" w:id="0">
    <w:p w14:paraId="61056784" w14:textId="77777777" w:rsidR="002806AA" w:rsidRDefault="002806AA" w:rsidP="00B7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149C" w14:textId="2248DFE7" w:rsidR="00441A65" w:rsidRDefault="00441A65">
    <w:pPr>
      <w:pStyle w:val="Hlavika"/>
    </w:pPr>
    <w:r>
      <w:rPr>
        <w:rFonts w:ascii="Arial" w:hAnsi="Arial"/>
        <w:b/>
        <w:i/>
        <w:noProof/>
        <w:sz w:val="48"/>
      </w:rPr>
      <w:drawing>
        <wp:anchor distT="0" distB="0" distL="114300" distR="114300" simplePos="0" relativeHeight="251659264" behindDoc="0" locked="0" layoutInCell="1" allowOverlap="1" wp14:anchorId="60C27044" wp14:editId="6F84207B">
          <wp:simplePos x="0" y="0"/>
          <wp:positionH relativeFrom="margin">
            <wp:posOffset>-615950</wp:posOffset>
          </wp:positionH>
          <wp:positionV relativeFrom="margin">
            <wp:posOffset>-749300</wp:posOffset>
          </wp:positionV>
          <wp:extent cx="1376045" cy="584200"/>
          <wp:effectExtent l="0" t="0" r="0" b="6350"/>
          <wp:wrapSquare wrapText="bothSides"/>
          <wp:docPr id="1042672572" name="Obrázek 1042672572" descr="Obsah obrázku text, logo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672572" name="Obrázek 1042672572" descr="Obsah obrázku text, logo, Písm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37"/>
    <w:multiLevelType w:val="hybridMultilevel"/>
    <w:tmpl w:val="BE78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641F"/>
    <w:multiLevelType w:val="hybridMultilevel"/>
    <w:tmpl w:val="731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47C0"/>
    <w:multiLevelType w:val="hybridMultilevel"/>
    <w:tmpl w:val="7E4CA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19F2"/>
    <w:multiLevelType w:val="hybridMultilevel"/>
    <w:tmpl w:val="9DEAC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0BC"/>
    <w:multiLevelType w:val="hybridMultilevel"/>
    <w:tmpl w:val="16E224D2"/>
    <w:lvl w:ilvl="0" w:tplc="91A4C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22161"/>
    <w:multiLevelType w:val="hybridMultilevel"/>
    <w:tmpl w:val="9A321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36F16"/>
    <w:multiLevelType w:val="hybridMultilevel"/>
    <w:tmpl w:val="FA1CA982"/>
    <w:lvl w:ilvl="0" w:tplc="525E6F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0CD"/>
    <w:multiLevelType w:val="hybridMultilevel"/>
    <w:tmpl w:val="16E224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D5257"/>
    <w:multiLevelType w:val="hybridMultilevel"/>
    <w:tmpl w:val="5596C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3304"/>
    <w:multiLevelType w:val="hybridMultilevel"/>
    <w:tmpl w:val="AA168C2A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6BF734F"/>
    <w:multiLevelType w:val="hybridMultilevel"/>
    <w:tmpl w:val="13284230"/>
    <w:lvl w:ilvl="0" w:tplc="12DAA9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D7B88"/>
    <w:multiLevelType w:val="hybridMultilevel"/>
    <w:tmpl w:val="5922C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D5304"/>
    <w:multiLevelType w:val="hybridMultilevel"/>
    <w:tmpl w:val="2CA2A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23251">
    <w:abstractNumId w:val="6"/>
  </w:num>
  <w:num w:numId="2" w16cid:durableId="911282323">
    <w:abstractNumId w:val="2"/>
  </w:num>
  <w:num w:numId="3" w16cid:durableId="1225488274">
    <w:abstractNumId w:val="4"/>
  </w:num>
  <w:num w:numId="4" w16cid:durableId="308825403">
    <w:abstractNumId w:val="3"/>
  </w:num>
  <w:num w:numId="5" w16cid:durableId="10379348">
    <w:abstractNumId w:val="9"/>
  </w:num>
  <w:num w:numId="6" w16cid:durableId="2130392058">
    <w:abstractNumId w:val="11"/>
  </w:num>
  <w:num w:numId="7" w16cid:durableId="1994523673">
    <w:abstractNumId w:val="8"/>
  </w:num>
  <w:num w:numId="8" w16cid:durableId="1093866304">
    <w:abstractNumId w:val="12"/>
  </w:num>
  <w:num w:numId="9" w16cid:durableId="483937906">
    <w:abstractNumId w:val="1"/>
  </w:num>
  <w:num w:numId="10" w16cid:durableId="1895652520">
    <w:abstractNumId w:val="10"/>
  </w:num>
  <w:num w:numId="11" w16cid:durableId="4594462">
    <w:abstractNumId w:val="0"/>
  </w:num>
  <w:num w:numId="12" w16cid:durableId="1666784410">
    <w:abstractNumId w:val="5"/>
  </w:num>
  <w:num w:numId="13" w16cid:durableId="385643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19"/>
    <w:rsid w:val="00001275"/>
    <w:rsid w:val="000022CC"/>
    <w:rsid w:val="0000465D"/>
    <w:rsid w:val="0001361E"/>
    <w:rsid w:val="00030C7F"/>
    <w:rsid w:val="0003575E"/>
    <w:rsid w:val="00041A0C"/>
    <w:rsid w:val="00042A46"/>
    <w:rsid w:val="00054108"/>
    <w:rsid w:val="0005720A"/>
    <w:rsid w:val="00082BD1"/>
    <w:rsid w:val="000925F0"/>
    <w:rsid w:val="000A2E94"/>
    <w:rsid w:val="000A3A69"/>
    <w:rsid w:val="000A4FBF"/>
    <w:rsid w:val="000B1548"/>
    <w:rsid w:val="000B1A30"/>
    <w:rsid w:val="000B4F7B"/>
    <w:rsid w:val="000C06E9"/>
    <w:rsid w:val="000C1C48"/>
    <w:rsid w:val="000C4C42"/>
    <w:rsid w:val="000D37BE"/>
    <w:rsid w:val="000E494B"/>
    <w:rsid w:val="000F5702"/>
    <w:rsid w:val="000F5B52"/>
    <w:rsid w:val="00101A55"/>
    <w:rsid w:val="00106553"/>
    <w:rsid w:val="00110C17"/>
    <w:rsid w:val="001114C3"/>
    <w:rsid w:val="00145B4A"/>
    <w:rsid w:val="00157EA5"/>
    <w:rsid w:val="00193462"/>
    <w:rsid w:val="001B37AB"/>
    <w:rsid w:val="001B49C2"/>
    <w:rsid w:val="001B5A49"/>
    <w:rsid w:val="001C6C5E"/>
    <w:rsid w:val="001D5C84"/>
    <w:rsid w:val="001E0312"/>
    <w:rsid w:val="001E03FD"/>
    <w:rsid w:val="001E1C85"/>
    <w:rsid w:val="001E2611"/>
    <w:rsid w:val="001E539E"/>
    <w:rsid w:val="001F2135"/>
    <w:rsid w:val="001F4AC7"/>
    <w:rsid w:val="00210451"/>
    <w:rsid w:val="00210472"/>
    <w:rsid w:val="00214E87"/>
    <w:rsid w:val="00223FA2"/>
    <w:rsid w:val="00231626"/>
    <w:rsid w:val="00233CE7"/>
    <w:rsid w:val="0024220F"/>
    <w:rsid w:val="00244908"/>
    <w:rsid w:val="002455AE"/>
    <w:rsid w:val="00246674"/>
    <w:rsid w:val="0025422E"/>
    <w:rsid w:val="00274954"/>
    <w:rsid w:val="002806AA"/>
    <w:rsid w:val="002A0464"/>
    <w:rsid w:val="002A1ABF"/>
    <w:rsid w:val="002A3A4C"/>
    <w:rsid w:val="002B4ACA"/>
    <w:rsid w:val="002C4F38"/>
    <w:rsid w:val="002E04DA"/>
    <w:rsid w:val="002E273C"/>
    <w:rsid w:val="002E3E6B"/>
    <w:rsid w:val="002E4A9E"/>
    <w:rsid w:val="0030796A"/>
    <w:rsid w:val="00361484"/>
    <w:rsid w:val="00363535"/>
    <w:rsid w:val="00364672"/>
    <w:rsid w:val="00373B35"/>
    <w:rsid w:val="00377134"/>
    <w:rsid w:val="00377E0D"/>
    <w:rsid w:val="003813FB"/>
    <w:rsid w:val="00383D45"/>
    <w:rsid w:val="00384539"/>
    <w:rsid w:val="0039028A"/>
    <w:rsid w:val="00390A75"/>
    <w:rsid w:val="00395E9E"/>
    <w:rsid w:val="003A7784"/>
    <w:rsid w:val="003B3371"/>
    <w:rsid w:val="003C5C95"/>
    <w:rsid w:val="003C5D4B"/>
    <w:rsid w:val="003C6F66"/>
    <w:rsid w:val="003D720D"/>
    <w:rsid w:val="00411B2D"/>
    <w:rsid w:val="0041388F"/>
    <w:rsid w:val="00414CB5"/>
    <w:rsid w:val="00420E18"/>
    <w:rsid w:val="004248EA"/>
    <w:rsid w:val="00432566"/>
    <w:rsid w:val="004417C7"/>
    <w:rsid w:val="00441A65"/>
    <w:rsid w:val="0044384B"/>
    <w:rsid w:val="00447E67"/>
    <w:rsid w:val="00467BA0"/>
    <w:rsid w:val="00473106"/>
    <w:rsid w:val="00477C3F"/>
    <w:rsid w:val="004848F5"/>
    <w:rsid w:val="004932B4"/>
    <w:rsid w:val="004B232E"/>
    <w:rsid w:val="004B2CC7"/>
    <w:rsid w:val="004B401F"/>
    <w:rsid w:val="004B4E8E"/>
    <w:rsid w:val="004C3000"/>
    <w:rsid w:val="004C534B"/>
    <w:rsid w:val="004C797F"/>
    <w:rsid w:val="004D40E2"/>
    <w:rsid w:val="004D7AFC"/>
    <w:rsid w:val="004D7D29"/>
    <w:rsid w:val="004E4C0F"/>
    <w:rsid w:val="004E6233"/>
    <w:rsid w:val="00525415"/>
    <w:rsid w:val="005343C0"/>
    <w:rsid w:val="005450B5"/>
    <w:rsid w:val="00555D4A"/>
    <w:rsid w:val="00567DF7"/>
    <w:rsid w:val="00595F2D"/>
    <w:rsid w:val="00596E34"/>
    <w:rsid w:val="005A3A9E"/>
    <w:rsid w:val="005A46B5"/>
    <w:rsid w:val="005B5C85"/>
    <w:rsid w:val="005C1AA4"/>
    <w:rsid w:val="005C709B"/>
    <w:rsid w:val="005D119E"/>
    <w:rsid w:val="005F7E0F"/>
    <w:rsid w:val="0060131F"/>
    <w:rsid w:val="0060587B"/>
    <w:rsid w:val="00615330"/>
    <w:rsid w:val="00616349"/>
    <w:rsid w:val="00630365"/>
    <w:rsid w:val="00644D92"/>
    <w:rsid w:val="00645615"/>
    <w:rsid w:val="00653428"/>
    <w:rsid w:val="00656290"/>
    <w:rsid w:val="00656A8E"/>
    <w:rsid w:val="00665191"/>
    <w:rsid w:val="00671EF6"/>
    <w:rsid w:val="006746EF"/>
    <w:rsid w:val="00680522"/>
    <w:rsid w:val="00680DC1"/>
    <w:rsid w:val="006816D5"/>
    <w:rsid w:val="00686692"/>
    <w:rsid w:val="006867C5"/>
    <w:rsid w:val="006A45B9"/>
    <w:rsid w:val="006B5331"/>
    <w:rsid w:val="006B6835"/>
    <w:rsid w:val="006B6CAE"/>
    <w:rsid w:val="006C72A4"/>
    <w:rsid w:val="006C7D62"/>
    <w:rsid w:val="006F2E98"/>
    <w:rsid w:val="00701830"/>
    <w:rsid w:val="007141FB"/>
    <w:rsid w:val="0071434D"/>
    <w:rsid w:val="00717C27"/>
    <w:rsid w:val="007208E9"/>
    <w:rsid w:val="007217AB"/>
    <w:rsid w:val="007269D4"/>
    <w:rsid w:val="00737A78"/>
    <w:rsid w:val="0074070E"/>
    <w:rsid w:val="00742ADD"/>
    <w:rsid w:val="00745C1B"/>
    <w:rsid w:val="00747279"/>
    <w:rsid w:val="00762E54"/>
    <w:rsid w:val="0078154F"/>
    <w:rsid w:val="00785756"/>
    <w:rsid w:val="00797164"/>
    <w:rsid w:val="007A018E"/>
    <w:rsid w:val="007A61DB"/>
    <w:rsid w:val="007B3F28"/>
    <w:rsid w:val="007B52E5"/>
    <w:rsid w:val="007C19A5"/>
    <w:rsid w:val="007C72F5"/>
    <w:rsid w:val="007C7916"/>
    <w:rsid w:val="007D0816"/>
    <w:rsid w:val="007D28C6"/>
    <w:rsid w:val="007D72D1"/>
    <w:rsid w:val="007E1492"/>
    <w:rsid w:val="007F0AF6"/>
    <w:rsid w:val="0080637B"/>
    <w:rsid w:val="00823411"/>
    <w:rsid w:val="00825B1C"/>
    <w:rsid w:val="00830046"/>
    <w:rsid w:val="00842935"/>
    <w:rsid w:val="0084557B"/>
    <w:rsid w:val="00852206"/>
    <w:rsid w:val="00852644"/>
    <w:rsid w:val="0085347E"/>
    <w:rsid w:val="00871D89"/>
    <w:rsid w:val="008756C4"/>
    <w:rsid w:val="00890962"/>
    <w:rsid w:val="00897073"/>
    <w:rsid w:val="008978F2"/>
    <w:rsid w:val="008A1C44"/>
    <w:rsid w:val="008A1FE8"/>
    <w:rsid w:val="008A303C"/>
    <w:rsid w:val="008B1976"/>
    <w:rsid w:val="008C671A"/>
    <w:rsid w:val="008D0B75"/>
    <w:rsid w:val="008F2E94"/>
    <w:rsid w:val="009015E8"/>
    <w:rsid w:val="0090311D"/>
    <w:rsid w:val="00921999"/>
    <w:rsid w:val="00923D96"/>
    <w:rsid w:val="00927E4A"/>
    <w:rsid w:val="00940579"/>
    <w:rsid w:val="009505BC"/>
    <w:rsid w:val="00970A02"/>
    <w:rsid w:val="00974EC9"/>
    <w:rsid w:val="00975817"/>
    <w:rsid w:val="009871A9"/>
    <w:rsid w:val="009B46FC"/>
    <w:rsid w:val="009C3388"/>
    <w:rsid w:val="009F5766"/>
    <w:rsid w:val="00A00C07"/>
    <w:rsid w:val="00A079FF"/>
    <w:rsid w:val="00A16E3D"/>
    <w:rsid w:val="00A32BD7"/>
    <w:rsid w:val="00A422C5"/>
    <w:rsid w:val="00A537AF"/>
    <w:rsid w:val="00A7315C"/>
    <w:rsid w:val="00A77F4C"/>
    <w:rsid w:val="00AA51A0"/>
    <w:rsid w:val="00AB5D81"/>
    <w:rsid w:val="00AD15E3"/>
    <w:rsid w:val="00AF083F"/>
    <w:rsid w:val="00AF0D38"/>
    <w:rsid w:val="00B14379"/>
    <w:rsid w:val="00B231CE"/>
    <w:rsid w:val="00B24075"/>
    <w:rsid w:val="00B25145"/>
    <w:rsid w:val="00B34355"/>
    <w:rsid w:val="00B37689"/>
    <w:rsid w:val="00B54880"/>
    <w:rsid w:val="00B614C2"/>
    <w:rsid w:val="00B64480"/>
    <w:rsid w:val="00B71919"/>
    <w:rsid w:val="00B758F8"/>
    <w:rsid w:val="00B80FF7"/>
    <w:rsid w:val="00B912A1"/>
    <w:rsid w:val="00B96923"/>
    <w:rsid w:val="00BA2B4A"/>
    <w:rsid w:val="00BA33BC"/>
    <w:rsid w:val="00BA35D1"/>
    <w:rsid w:val="00BA7C41"/>
    <w:rsid w:val="00BB08E6"/>
    <w:rsid w:val="00BC6986"/>
    <w:rsid w:val="00BC6FF2"/>
    <w:rsid w:val="00BC7CD6"/>
    <w:rsid w:val="00BD001C"/>
    <w:rsid w:val="00BD28DC"/>
    <w:rsid w:val="00BD42B3"/>
    <w:rsid w:val="00BF3C6E"/>
    <w:rsid w:val="00C058D5"/>
    <w:rsid w:val="00C05DDF"/>
    <w:rsid w:val="00C115D4"/>
    <w:rsid w:val="00C1417D"/>
    <w:rsid w:val="00C156DD"/>
    <w:rsid w:val="00C34200"/>
    <w:rsid w:val="00C4025E"/>
    <w:rsid w:val="00C41400"/>
    <w:rsid w:val="00C4740A"/>
    <w:rsid w:val="00C62E86"/>
    <w:rsid w:val="00C64F5D"/>
    <w:rsid w:val="00CA4846"/>
    <w:rsid w:val="00CB2235"/>
    <w:rsid w:val="00CE1530"/>
    <w:rsid w:val="00CE4FBB"/>
    <w:rsid w:val="00CF0A8A"/>
    <w:rsid w:val="00CF0F29"/>
    <w:rsid w:val="00CF1A98"/>
    <w:rsid w:val="00CF728A"/>
    <w:rsid w:val="00CF7B9D"/>
    <w:rsid w:val="00D011A6"/>
    <w:rsid w:val="00D04D65"/>
    <w:rsid w:val="00D0799D"/>
    <w:rsid w:val="00D11525"/>
    <w:rsid w:val="00D136F7"/>
    <w:rsid w:val="00D20E9E"/>
    <w:rsid w:val="00D303B0"/>
    <w:rsid w:val="00D45C59"/>
    <w:rsid w:val="00D51077"/>
    <w:rsid w:val="00D53BD6"/>
    <w:rsid w:val="00D54469"/>
    <w:rsid w:val="00D57A22"/>
    <w:rsid w:val="00D634AF"/>
    <w:rsid w:val="00D647AA"/>
    <w:rsid w:val="00D71DC1"/>
    <w:rsid w:val="00D82EFF"/>
    <w:rsid w:val="00D84997"/>
    <w:rsid w:val="00D90CEC"/>
    <w:rsid w:val="00D9266D"/>
    <w:rsid w:val="00D9364A"/>
    <w:rsid w:val="00D9695C"/>
    <w:rsid w:val="00D97393"/>
    <w:rsid w:val="00DA3805"/>
    <w:rsid w:val="00DB4446"/>
    <w:rsid w:val="00DE1047"/>
    <w:rsid w:val="00DE2E76"/>
    <w:rsid w:val="00DF7C4E"/>
    <w:rsid w:val="00E02B02"/>
    <w:rsid w:val="00E06C6E"/>
    <w:rsid w:val="00E11002"/>
    <w:rsid w:val="00E11A8E"/>
    <w:rsid w:val="00E128AD"/>
    <w:rsid w:val="00E33402"/>
    <w:rsid w:val="00E5765C"/>
    <w:rsid w:val="00E606DD"/>
    <w:rsid w:val="00E6611F"/>
    <w:rsid w:val="00E731A5"/>
    <w:rsid w:val="00E85DC5"/>
    <w:rsid w:val="00E867A0"/>
    <w:rsid w:val="00E904DE"/>
    <w:rsid w:val="00E97143"/>
    <w:rsid w:val="00EA02E4"/>
    <w:rsid w:val="00EB57FB"/>
    <w:rsid w:val="00EC1EC4"/>
    <w:rsid w:val="00EC31DB"/>
    <w:rsid w:val="00EC3A28"/>
    <w:rsid w:val="00ED4D64"/>
    <w:rsid w:val="00EE4F1D"/>
    <w:rsid w:val="00EE6FE9"/>
    <w:rsid w:val="00EE7043"/>
    <w:rsid w:val="00F0025C"/>
    <w:rsid w:val="00F179F6"/>
    <w:rsid w:val="00F2220A"/>
    <w:rsid w:val="00F307B7"/>
    <w:rsid w:val="00F30D04"/>
    <w:rsid w:val="00F35B6E"/>
    <w:rsid w:val="00F41FFE"/>
    <w:rsid w:val="00F43E37"/>
    <w:rsid w:val="00F51481"/>
    <w:rsid w:val="00F740F2"/>
    <w:rsid w:val="00F75358"/>
    <w:rsid w:val="00F81BE7"/>
    <w:rsid w:val="00FD0303"/>
    <w:rsid w:val="00FD0CEB"/>
    <w:rsid w:val="00FD12AD"/>
    <w:rsid w:val="00FE03C5"/>
    <w:rsid w:val="00FE074B"/>
    <w:rsid w:val="00FE213A"/>
    <w:rsid w:val="00FE7EF1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F13"/>
  <w15:chartTrackingRefBased/>
  <w15:docId w15:val="{47B3EDEA-CB7C-4686-BB90-D37E01F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19"/>
    <w:pPr>
      <w:ind w:left="720"/>
      <w:contextualSpacing/>
    </w:pPr>
  </w:style>
  <w:style w:type="paragraph" w:customStyle="1" w:styleId="norm2">
    <w:name w:val="norm2"/>
    <w:basedOn w:val="Normlny"/>
    <w:rsid w:val="000B1548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perscript">
    <w:name w:val="superscript"/>
    <w:basedOn w:val="Predvolenpsmoodseku"/>
    <w:rsid w:val="003D720D"/>
    <w:rPr>
      <w:sz w:val="17"/>
      <w:szCs w:val="17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8A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D011A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11A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4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A65"/>
  </w:style>
  <w:style w:type="paragraph" w:styleId="Pta">
    <w:name w:val="footer"/>
    <w:basedOn w:val="Normlny"/>
    <w:link w:val="PtaChar"/>
    <w:uiPriority w:val="99"/>
    <w:unhideWhenUsed/>
    <w:rsid w:val="0044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52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976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4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3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30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7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67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4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2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5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9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8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3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84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od.ec.europa.eu/safety/chemical-safety/food-contact-materials_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28EE9905CB2429E70BD49D01CA199" ma:contentTypeVersion="17" ma:contentTypeDescription="Create a new document." ma:contentTypeScope="" ma:versionID="d1dfa1018258dc432bc83a52e064b74c">
  <xsd:schema xmlns:xsd="http://www.w3.org/2001/XMLSchema" xmlns:xs="http://www.w3.org/2001/XMLSchema" xmlns:p="http://schemas.microsoft.com/office/2006/metadata/properties" xmlns:ns2="74acd23b-2a33-4421-88bd-92494f149fc2" xmlns:ns3="8327f913-3be9-40ad-8d41-8f9500f363b9" targetNamespace="http://schemas.microsoft.com/office/2006/metadata/properties" ma:root="true" ma:fieldsID="97e4abc17a692dc6e4840c52f22c3be3" ns2:_="" ns3:_="">
    <xsd:import namespace="74acd23b-2a33-4421-88bd-92494f149fc2"/>
    <xsd:import namespace="8327f913-3be9-40ad-8d41-8f9500f36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cd23b-2a33-4421-88bd-92494f149f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ad5a7-3571-4d64-a1f4-b7ffed68bfa7}" ma:internalName="TaxCatchAll" ma:showField="CatchAllData" ma:web="74acd23b-2a33-4421-88bd-92494f149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7f913-3be9-40ad-8d41-8f9500f36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7f913-3be9-40ad-8d41-8f9500f363b9">
      <Terms xmlns="http://schemas.microsoft.com/office/infopath/2007/PartnerControls"/>
    </lcf76f155ced4ddcb4097134ff3c332f>
    <TaxCatchAll xmlns="74acd23b-2a33-4421-88bd-92494f149f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D2A51-0780-40F9-9AC3-968601E8A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cd23b-2a33-4421-88bd-92494f149fc2"/>
    <ds:schemaRef ds:uri="8327f913-3be9-40ad-8d41-8f9500f3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84619-EDDA-46AF-A660-FA371C81F368}">
  <ds:schemaRefs>
    <ds:schemaRef ds:uri="http://schemas.microsoft.com/office/2006/metadata/properties"/>
    <ds:schemaRef ds:uri="http://schemas.microsoft.com/office/infopath/2007/PartnerControls"/>
    <ds:schemaRef ds:uri="8327f913-3be9-40ad-8d41-8f9500f363b9"/>
    <ds:schemaRef ds:uri="74acd23b-2a33-4421-88bd-92494f149fc2"/>
  </ds:schemaRefs>
</ds:datastoreItem>
</file>

<file path=customXml/itemProps3.xml><?xml version="1.0" encoding="utf-8"?>
<ds:datastoreItem xmlns:ds="http://schemas.openxmlformats.org/officeDocument/2006/customXml" ds:itemID="{828AB19B-6CD5-494D-A1E9-4D8C6A096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Pajurek</dc:creator>
  <cp:keywords/>
  <dc:description/>
  <cp:lastModifiedBy>Lukáš Douděra</cp:lastModifiedBy>
  <cp:revision>30</cp:revision>
  <dcterms:created xsi:type="dcterms:W3CDTF">2023-05-18T09:18:00Z</dcterms:created>
  <dcterms:modified xsi:type="dcterms:W3CDTF">2023-06-01T07:21:00Z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2021-11-16T06:36:14Z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c7cb6db2-35ac-4879-a8ca-74daf2392e02</vt:lpwstr>
  </property>
  <property fmtid="{D5CDD505-2E9C-101B-9397-08002B2CF9AE}" pid="8" name="MSIP_Label_b902d893-e969-45ad-97c1-6b351819e922_ContentBits">
    <vt:lpwstr>1</vt:lpwstr>
  </property>
  <property fmtid="{D5CDD505-2E9C-101B-9397-08002B2CF9AE}" pid="9" name="ContentTypeId">
    <vt:lpwstr>0x0101006E428EE9905CB2429E70BD49D01CA199</vt:lpwstr>
  </property>
  <property fmtid="{D5CDD505-2E9C-101B-9397-08002B2CF9AE}" pid="10" name="MediaServiceImageTags">
    <vt:lpwstr/>
  </property>
</Properties>
</file>